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747C" w14:textId="3CEC6FA7" w:rsidR="007207D0" w:rsidRDefault="00BF1B97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MAFS.4.G.1.1 </w:t>
      </w:r>
      <w:r>
        <w:rPr>
          <w:rFonts w:ascii="Calibri" w:hAnsi="Calibri" w:cs="Calibri"/>
        </w:rPr>
        <w:t>Draw points, lines, line segments, rays, angles (right, acute,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obtuse), and perpendicular and parallel lines. Identify these in two‐dimensional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figures.</w:t>
      </w:r>
    </w:p>
    <w:p w14:paraId="24571C7B" w14:textId="77777777" w:rsidR="00BF1B97" w:rsidRDefault="00BF1B97" w:rsidP="00BF1B97">
      <w:pPr>
        <w:autoSpaceDE w:val="0"/>
        <w:autoSpaceDN w:val="0"/>
        <w:adjustRightInd w:val="0"/>
        <w:spacing w:after="0" w:line="240" w:lineRule="auto"/>
      </w:pPr>
    </w:p>
    <w:p w14:paraId="6A8B7E1D" w14:textId="30DFDFD6" w:rsidR="00C5447B" w:rsidRDefault="00C5447B" w:rsidP="00BF1B97">
      <w:pPr>
        <w:autoSpaceDE w:val="0"/>
        <w:autoSpaceDN w:val="0"/>
        <w:adjustRightInd w:val="0"/>
        <w:spacing w:after="0" w:line="240" w:lineRule="auto"/>
      </w:pPr>
      <w:r>
        <w:t>G.1.1-FSA-MC1</w:t>
      </w:r>
    </w:p>
    <w:p w14:paraId="12570ECF" w14:textId="4C43E533" w:rsidR="00C5447B" w:rsidRDefault="00C5447B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  <w:bookmarkStart w:id="0" w:name="_GoBack"/>
      <w:bookmarkEnd w:id="0"/>
    </w:p>
    <w:p w14:paraId="69E9E004" w14:textId="77777777" w:rsidR="00C5447B" w:rsidRDefault="00C5447B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5FF90" w14:textId="7E89CC52" w:rsidR="00C5447B" w:rsidRDefault="00C5447B" w:rsidP="00BF1B9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7705B35" wp14:editId="2F4A76EC">
            <wp:extent cx="4439270" cy="27626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456E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7207D0"/>
    <w:rsid w:val="00BF1B97"/>
    <w:rsid w:val="00C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2015-08-26T14:29:00Z</dcterms:created>
  <dcterms:modified xsi:type="dcterms:W3CDTF">2015-08-26T14:30:00Z</dcterms:modified>
</cp:coreProperties>
</file>