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436349">
        <w:trPr>
          <w:trHeight w:val="630"/>
        </w:trPr>
        <w:tc>
          <w:tcPr>
            <w:tcW w:w="9366" w:type="dxa"/>
          </w:tcPr>
          <w:tbl>
            <w:tblPr>
              <w:tblW w:w="93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4"/>
            </w:tblGrid>
            <w:tr w:rsidR="00517A4F" w:rsidRPr="00517A4F" w14:paraId="51C7EDCA" w14:textId="77777777" w:rsidTr="00517A4F">
              <w:trPr>
                <w:trHeight w:val="140"/>
              </w:trPr>
              <w:tc>
                <w:tcPr>
                  <w:tcW w:w="9364" w:type="dxa"/>
                </w:tcPr>
                <w:p w14:paraId="56FD62E6" w14:textId="0D82CB6A" w:rsidR="006E6C72" w:rsidRPr="00517A4F" w:rsidRDefault="00F85C72" w:rsidP="007066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F85C72">
                    <w:rPr>
                      <w:b/>
                    </w:rPr>
                    <w:t>MAFS.912.G-CO.2.</w:t>
                  </w:r>
                  <w:r w:rsidR="00495670">
                    <w:rPr>
                      <w:b/>
                    </w:rPr>
                    <w:t>8</w:t>
                  </w:r>
                </w:p>
              </w:tc>
            </w:tr>
          </w:tbl>
          <w:p w14:paraId="6156DB16" w14:textId="6E79F01C" w:rsidR="00816E40" w:rsidRPr="00816E40" w:rsidRDefault="00816E40" w:rsidP="00816E40">
            <w:pPr>
              <w:rPr>
                <w:b/>
              </w:rPr>
            </w:pPr>
          </w:p>
        </w:tc>
      </w:tr>
      <w:tr w:rsidR="00816E40" w14:paraId="7208068B" w14:textId="77777777" w:rsidTr="00816E40">
        <w:trPr>
          <w:trHeight w:val="140"/>
        </w:trPr>
        <w:tc>
          <w:tcPr>
            <w:tcW w:w="9366" w:type="dxa"/>
          </w:tcPr>
          <w:p w14:paraId="274736A4" w14:textId="2D201424" w:rsidR="00816E40" w:rsidRDefault="00495670">
            <w:pPr>
              <w:pStyle w:val="Default"/>
              <w:rPr>
                <w:sz w:val="22"/>
                <w:szCs w:val="22"/>
              </w:rPr>
            </w:pPr>
            <w:r w:rsidRPr="00495670">
              <w:rPr>
                <w:sz w:val="22"/>
                <w:szCs w:val="22"/>
              </w:rPr>
              <w:t>Explain how the criteria for triangle congruence (ASA, SAS, SSS, and Hypotenuse-Leg) follow from the definition of congruence in terms of rigid motions.</w:t>
            </w:r>
            <w:bookmarkStart w:id="0" w:name="_GoBack"/>
            <w:bookmarkEnd w:id="0"/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20511A15" w:rsidR="00816E40" w:rsidRDefault="00F85C72">
      <w:pPr>
        <w:rPr>
          <w:b/>
        </w:rPr>
      </w:pPr>
      <w:r>
        <w:rPr>
          <w:b/>
        </w:rPr>
        <w:t>Multiple Choice</w:t>
      </w:r>
    </w:p>
    <w:p w14:paraId="5D8CD3ED" w14:textId="55B9A0F3" w:rsidR="003D1C2E" w:rsidRDefault="003D1C2E">
      <w:pPr>
        <w:rPr>
          <w:b/>
        </w:rPr>
      </w:pPr>
    </w:p>
    <w:p w14:paraId="5DE9652E" w14:textId="6B272592" w:rsidR="00816E40" w:rsidRPr="00816E40" w:rsidRDefault="00F85C72">
      <w:pPr>
        <w:rPr>
          <w:b/>
        </w:rPr>
      </w:pPr>
      <w:r>
        <w:rPr>
          <w:noProof/>
        </w:rPr>
        <w:drawing>
          <wp:inline distT="0" distB="0" distL="0" distR="0" wp14:anchorId="57D9485A" wp14:editId="17F4A8E3">
            <wp:extent cx="5943600" cy="4771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2953DF"/>
    <w:rsid w:val="002C0122"/>
    <w:rsid w:val="003D1C2E"/>
    <w:rsid w:val="00436349"/>
    <w:rsid w:val="00495670"/>
    <w:rsid w:val="00517A4F"/>
    <w:rsid w:val="006E6C72"/>
    <w:rsid w:val="00706673"/>
    <w:rsid w:val="00816E40"/>
    <w:rsid w:val="0090251C"/>
    <w:rsid w:val="00973DF7"/>
    <w:rsid w:val="009911F5"/>
    <w:rsid w:val="00F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2015-09-29T18:55:00Z</dcterms:created>
  <dcterms:modified xsi:type="dcterms:W3CDTF">2015-09-29T18:55:00Z</dcterms:modified>
</cp:coreProperties>
</file>