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ayout w:type="fixed"/>
        <w:tblLook w:val="0000" w:firstRow="0" w:lastRow="0" w:firstColumn="0" w:lastColumn="0" w:noHBand="0" w:noVBand="0"/>
      </w:tblPr>
      <w:tblGrid>
        <w:gridCol w:w="9366"/>
      </w:tblGrid>
      <w:tr w:rsidR="00816E40" w:rsidRPr="00816E40" w14:paraId="5C1FB56E" w14:textId="77777777" w:rsidTr="00430B15">
        <w:trPr>
          <w:trHeight w:val="140"/>
        </w:trPr>
        <w:tc>
          <w:tcPr>
            <w:tcW w:w="9366" w:type="dxa"/>
            <w:shd w:val="clear" w:color="auto" w:fill="auto"/>
          </w:tcPr>
          <w:tbl>
            <w:tblPr>
              <w:tblW w:w="9364" w:type="dxa"/>
              <w:tblBorders>
                <w:top w:val="nil"/>
                <w:left w:val="nil"/>
                <w:bottom w:val="nil"/>
                <w:right w:val="nil"/>
              </w:tblBorders>
              <w:tblLayout w:type="fixed"/>
              <w:tblLook w:val="0000" w:firstRow="0" w:lastRow="0" w:firstColumn="0" w:lastColumn="0" w:noHBand="0" w:noVBand="0"/>
            </w:tblPr>
            <w:tblGrid>
              <w:gridCol w:w="9364"/>
            </w:tblGrid>
            <w:tr w:rsidR="00517A4F" w:rsidRPr="00517A4F" w14:paraId="51C7EDCA" w14:textId="77777777" w:rsidTr="00517A4F">
              <w:trPr>
                <w:trHeight w:val="140"/>
              </w:trPr>
              <w:tc>
                <w:tcPr>
                  <w:tcW w:w="9364" w:type="dxa"/>
                </w:tcPr>
                <w:p w14:paraId="56FD62E6" w14:textId="56642A16" w:rsidR="00517A4F" w:rsidRPr="00517A4F" w:rsidRDefault="00430B15" w:rsidP="00517A4F">
                  <w:pPr>
                    <w:autoSpaceDE w:val="0"/>
                    <w:autoSpaceDN w:val="0"/>
                    <w:adjustRightInd w:val="0"/>
                    <w:spacing w:after="0" w:line="240" w:lineRule="auto"/>
                    <w:rPr>
                      <w:rFonts w:ascii="Calibri" w:hAnsi="Calibri" w:cs="Calibri"/>
                      <w:b/>
                      <w:color w:val="000000"/>
                    </w:rPr>
                  </w:pPr>
                  <w:bookmarkStart w:id="0" w:name="_GoBack" w:colFirst="0" w:colLast="0"/>
                  <w:r>
                    <w:rPr>
                      <w:b/>
                    </w:rPr>
                    <w:t>MAFS.912.G-CO.1.2</w:t>
                  </w:r>
                </w:p>
              </w:tc>
            </w:tr>
            <w:bookmarkEnd w:id="0"/>
          </w:tbl>
          <w:p w14:paraId="6156DB16" w14:textId="6E79F01C" w:rsidR="00816E40" w:rsidRPr="00816E40" w:rsidRDefault="00816E40" w:rsidP="00816E40">
            <w:pPr>
              <w:rPr>
                <w:b/>
              </w:rPr>
            </w:pPr>
          </w:p>
        </w:tc>
      </w:tr>
      <w:tr w:rsidR="00816E40" w14:paraId="7208068B" w14:textId="77777777" w:rsidTr="00430B15">
        <w:trPr>
          <w:trHeight w:val="140"/>
        </w:trPr>
        <w:tc>
          <w:tcPr>
            <w:tcW w:w="9366" w:type="dxa"/>
            <w:shd w:val="clear" w:color="auto" w:fill="auto"/>
          </w:tcPr>
          <w:p w14:paraId="274736A4" w14:textId="5D70B559" w:rsidR="00816E40" w:rsidRDefault="00430B15">
            <w:pPr>
              <w:pStyle w:val="Default"/>
              <w:rPr>
                <w:sz w:val="22"/>
                <w:szCs w:val="22"/>
              </w:rPr>
            </w:pPr>
            <w:r w:rsidRPr="00430B15">
              <w:rPr>
                <w:sz w:val="22"/>
                <w:szCs w:val="22"/>
              </w:rPr>
              <w:t>Represent transformations in the plane using, e.g., transparencies and geometry software; describe transformations as functions that take points in the plane as inputs and give other points as outputs. Compare transformations that preserve distance and angle to those that do not (e.g., translation versus horizontal stretch).</w:t>
            </w:r>
          </w:p>
        </w:tc>
      </w:tr>
    </w:tbl>
    <w:p w14:paraId="44A01773" w14:textId="77777777" w:rsidR="002C0122" w:rsidRDefault="002C0122"/>
    <w:p w14:paraId="66406E6C" w14:textId="3A8E0950" w:rsidR="00816E40" w:rsidRPr="00816E40" w:rsidRDefault="00816E40">
      <w:pPr>
        <w:rPr>
          <w:b/>
        </w:rPr>
      </w:pPr>
      <w:r w:rsidRPr="00816E40">
        <w:rPr>
          <w:b/>
        </w:rPr>
        <w:t>Item Type</w:t>
      </w:r>
    </w:p>
    <w:p w14:paraId="2AB9F238" w14:textId="1DB93C8F" w:rsidR="00816E40" w:rsidRDefault="00430B15">
      <w:pPr>
        <w:rPr>
          <w:b/>
        </w:rPr>
      </w:pPr>
      <w:r>
        <w:rPr>
          <w:b/>
        </w:rPr>
        <w:t>Table Item</w:t>
      </w:r>
    </w:p>
    <w:p w14:paraId="666A2B0C" w14:textId="77777777" w:rsidR="00430B15" w:rsidRDefault="00430B15">
      <w:pPr>
        <w:rPr>
          <w:noProof/>
        </w:rPr>
      </w:pPr>
    </w:p>
    <w:p w14:paraId="5DE9652E" w14:textId="05F80699" w:rsidR="00430B15" w:rsidRDefault="00430B15">
      <w:pPr>
        <w:rPr>
          <w:b/>
        </w:rPr>
      </w:pPr>
      <w:r>
        <w:rPr>
          <w:noProof/>
        </w:rPr>
        <w:drawing>
          <wp:inline distT="0" distB="0" distL="0" distR="0" wp14:anchorId="04EA4B15" wp14:editId="7DC094B4">
            <wp:extent cx="5854585" cy="758190"/>
            <wp:effectExtent l="0" t="0" r="0" b="3810"/>
            <wp:docPr id="4" name="Picture 3"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Screen Clipping"/>
                    <pic:cNvPicPr>
                      <a:picLocks noChangeAspect="1"/>
                    </pic:cNvPicPr>
                  </pic:nvPicPr>
                  <pic:blipFill rotWithShape="1">
                    <a:blip r:embed="rId4">
                      <a:extLst>
                        <a:ext uri="{28A0092B-C50C-407E-A947-70E740481C1C}">
                          <a14:useLocalDpi xmlns:a14="http://schemas.microsoft.com/office/drawing/2010/main" val="0"/>
                        </a:ext>
                      </a:extLst>
                    </a:blip>
                    <a:srcRect l="1438" b="57932"/>
                    <a:stretch/>
                  </pic:blipFill>
                  <pic:spPr bwMode="auto">
                    <a:xfrm>
                      <a:off x="0" y="0"/>
                      <a:ext cx="5858137" cy="758650"/>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Look w:val="04A0" w:firstRow="1" w:lastRow="0" w:firstColumn="1" w:lastColumn="0" w:noHBand="0" w:noVBand="1"/>
      </w:tblPr>
      <w:tblGrid>
        <w:gridCol w:w="1075"/>
        <w:gridCol w:w="2070"/>
        <w:gridCol w:w="1530"/>
        <w:gridCol w:w="810"/>
        <w:gridCol w:w="810"/>
      </w:tblGrid>
      <w:tr w:rsidR="00430B15" w14:paraId="58AD038D" w14:textId="77777777" w:rsidTr="00430B15">
        <w:tc>
          <w:tcPr>
            <w:tcW w:w="1075" w:type="dxa"/>
          </w:tcPr>
          <w:p w14:paraId="23219980" w14:textId="0282AC85" w:rsidR="00430B15" w:rsidRPr="00430B15" w:rsidRDefault="00430B15" w:rsidP="00430B15">
            <w:pPr>
              <w:jc w:val="center"/>
              <w:rPr>
                <w:b/>
              </w:rPr>
            </w:pPr>
            <w:r w:rsidRPr="00430B15">
              <w:rPr>
                <w:b/>
              </w:rPr>
              <w:t>Student</w:t>
            </w:r>
          </w:p>
        </w:tc>
        <w:tc>
          <w:tcPr>
            <w:tcW w:w="2070" w:type="dxa"/>
          </w:tcPr>
          <w:p w14:paraId="5B0A868F" w14:textId="2CF9E52A" w:rsidR="00430B15" w:rsidRPr="00430B15" w:rsidRDefault="00430B15" w:rsidP="00430B15">
            <w:pPr>
              <w:jc w:val="center"/>
              <w:rPr>
                <w:b/>
              </w:rPr>
            </w:pPr>
            <w:r w:rsidRPr="00430B15">
              <w:rPr>
                <w:b/>
              </w:rPr>
              <w:t>Transformation</w:t>
            </w:r>
          </w:p>
        </w:tc>
        <w:tc>
          <w:tcPr>
            <w:tcW w:w="1530" w:type="dxa"/>
          </w:tcPr>
          <w:p w14:paraId="3DD90B98" w14:textId="0ECE15BC" w:rsidR="00430B15" w:rsidRPr="00430B15" w:rsidRDefault="00430B15" w:rsidP="00430B15">
            <w:pPr>
              <w:jc w:val="center"/>
              <w:rPr>
                <w:b/>
              </w:rPr>
            </w:pPr>
            <w:r w:rsidRPr="00430B15">
              <w:rPr>
                <w:b/>
              </w:rPr>
              <w:t>Location of S’</w:t>
            </w:r>
          </w:p>
        </w:tc>
        <w:tc>
          <w:tcPr>
            <w:tcW w:w="810" w:type="dxa"/>
          </w:tcPr>
          <w:p w14:paraId="4A9E926C" w14:textId="63DEDB52" w:rsidR="00430B15" w:rsidRPr="00430B15" w:rsidRDefault="00430B15" w:rsidP="00430B15">
            <w:pPr>
              <w:jc w:val="center"/>
              <w:rPr>
                <w:b/>
                <w:i/>
              </w:rPr>
            </w:pPr>
            <w:r w:rsidRPr="00430B15">
              <w:rPr>
                <w:b/>
                <w:i/>
              </w:rPr>
              <w:t>a</w:t>
            </w:r>
          </w:p>
        </w:tc>
        <w:tc>
          <w:tcPr>
            <w:tcW w:w="810" w:type="dxa"/>
          </w:tcPr>
          <w:p w14:paraId="406408A9" w14:textId="6A212E33" w:rsidR="00430B15" w:rsidRPr="00430B15" w:rsidRDefault="00430B15" w:rsidP="00430B15">
            <w:pPr>
              <w:jc w:val="center"/>
              <w:rPr>
                <w:b/>
                <w:i/>
              </w:rPr>
            </w:pPr>
            <w:r w:rsidRPr="00430B15">
              <w:rPr>
                <w:b/>
                <w:i/>
              </w:rPr>
              <w:t>b</w:t>
            </w:r>
          </w:p>
        </w:tc>
      </w:tr>
      <w:tr w:rsidR="00430B15" w14:paraId="763E34E8" w14:textId="77777777" w:rsidTr="00430B15">
        <w:tc>
          <w:tcPr>
            <w:tcW w:w="1075" w:type="dxa"/>
          </w:tcPr>
          <w:p w14:paraId="006E0EFE" w14:textId="15F64A1A" w:rsidR="00430B15" w:rsidRDefault="00430B15" w:rsidP="00430B15">
            <w:pPr>
              <w:jc w:val="center"/>
            </w:pPr>
            <w:r>
              <w:t>Nicole</w:t>
            </w:r>
          </w:p>
        </w:tc>
        <w:tc>
          <w:tcPr>
            <w:tcW w:w="2070" w:type="dxa"/>
          </w:tcPr>
          <w:p w14:paraId="1941E6CA" w14:textId="6D5D892D" w:rsidR="00430B15" w:rsidRDefault="00430B15" w:rsidP="00430B15">
            <w:pPr>
              <w:jc w:val="center"/>
            </w:pPr>
            <w:r>
              <w:t>(</w:t>
            </w:r>
            <w:proofErr w:type="spellStart"/>
            <w:r w:rsidRPr="00430B15">
              <w:rPr>
                <w:i/>
              </w:rPr>
              <w:t>x</w:t>
            </w:r>
            <w:r>
              <w:t>,</w:t>
            </w:r>
            <w:r w:rsidRPr="00430B15">
              <w:rPr>
                <w:i/>
              </w:rPr>
              <w:t>y</w:t>
            </w:r>
            <w:proofErr w:type="spellEnd"/>
            <w:r>
              <w:t>) → (</w:t>
            </w:r>
            <w:proofErr w:type="spellStart"/>
            <w:r w:rsidRPr="00430B15">
              <w:rPr>
                <w:i/>
              </w:rPr>
              <w:t>x</w:t>
            </w:r>
            <w:r>
              <w:t>+</w:t>
            </w:r>
            <w:r w:rsidRPr="00430B15">
              <w:rPr>
                <w:i/>
              </w:rPr>
              <w:t>a</w:t>
            </w:r>
            <w:proofErr w:type="spellEnd"/>
            <w:r>
              <w:t xml:space="preserve">, </w:t>
            </w:r>
            <w:proofErr w:type="spellStart"/>
            <w:r w:rsidRPr="00430B15">
              <w:rPr>
                <w:i/>
              </w:rPr>
              <w:t>y</w:t>
            </w:r>
            <w:r>
              <w:t>+</w:t>
            </w:r>
            <w:r w:rsidRPr="00430B15">
              <w:rPr>
                <w:i/>
              </w:rPr>
              <w:t>b</w:t>
            </w:r>
            <w:proofErr w:type="spellEnd"/>
            <w:r>
              <w:t>)</w:t>
            </w:r>
          </w:p>
        </w:tc>
        <w:tc>
          <w:tcPr>
            <w:tcW w:w="1530" w:type="dxa"/>
          </w:tcPr>
          <w:p w14:paraId="103F95EC" w14:textId="1EDF08B3" w:rsidR="00430B15" w:rsidRDefault="00430B15" w:rsidP="00430B15">
            <w:pPr>
              <w:jc w:val="center"/>
            </w:pPr>
            <w:r>
              <w:t>(-6, 12)</w:t>
            </w:r>
          </w:p>
        </w:tc>
        <w:tc>
          <w:tcPr>
            <w:tcW w:w="810" w:type="dxa"/>
            <w:shd w:val="clear" w:color="auto" w:fill="DEEAF6" w:themeFill="accent1" w:themeFillTint="33"/>
          </w:tcPr>
          <w:p w14:paraId="72674919" w14:textId="77777777" w:rsidR="00430B15" w:rsidRDefault="00430B15" w:rsidP="00430B15">
            <w:pPr>
              <w:jc w:val="center"/>
            </w:pPr>
          </w:p>
        </w:tc>
        <w:tc>
          <w:tcPr>
            <w:tcW w:w="810" w:type="dxa"/>
            <w:shd w:val="clear" w:color="auto" w:fill="DEEAF6" w:themeFill="accent1" w:themeFillTint="33"/>
          </w:tcPr>
          <w:p w14:paraId="7F6C3BC7" w14:textId="77777777" w:rsidR="00430B15" w:rsidRDefault="00430B15" w:rsidP="00430B15">
            <w:pPr>
              <w:jc w:val="center"/>
            </w:pPr>
          </w:p>
        </w:tc>
      </w:tr>
      <w:tr w:rsidR="00430B15" w14:paraId="11857DD9" w14:textId="77777777" w:rsidTr="00430B15">
        <w:tc>
          <w:tcPr>
            <w:tcW w:w="1075" w:type="dxa"/>
          </w:tcPr>
          <w:p w14:paraId="4B808C9C" w14:textId="24857D52" w:rsidR="00430B15" w:rsidRDefault="00430B15" w:rsidP="00430B15">
            <w:pPr>
              <w:jc w:val="center"/>
            </w:pPr>
            <w:r>
              <w:t>Jeremy</w:t>
            </w:r>
          </w:p>
        </w:tc>
        <w:tc>
          <w:tcPr>
            <w:tcW w:w="2070" w:type="dxa"/>
          </w:tcPr>
          <w:p w14:paraId="1D9F1EE8" w14:textId="65BD22FC" w:rsidR="00430B15" w:rsidRDefault="00430B15" w:rsidP="00430B15">
            <w:pPr>
              <w:jc w:val="center"/>
            </w:pPr>
            <w:r>
              <w:t>(</w:t>
            </w:r>
            <w:proofErr w:type="spellStart"/>
            <w:r w:rsidRPr="00430B15">
              <w:rPr>
                <w:i/>
              </w:rPr>
              <w:t>x</w:t>
            </w:r>
            <w:r>
              <w:t>,</w:t>
            </w:r>
            <w:r w:rsidRPr="00430B15">
              <w:rPr>
                <w:i/>
              </w:rPr>
              <w:t>y</w:t>
            </w:r>
            <w:proofErr w:type="spellEnd"/>
            <w:r>
              <w:t>) → (</w:t>
            </w:r>
            <w:r w:rsidRPr="00430B15">
              <w:rPr>
                <w:i/>
              </w:rPr>
              <w:t>a</w:t>
            </w:r>
            <w:r>
              <w:rPr>
                <w:i/>
              </w:rPr>
              <w:t>x</w:t>
            </w:r>
            <w:r>
              <w:t xml:space="preserve">, </w:t>
            </w:r>
            <w:r w:rsidRPr="00430B15">
              <w:rPr>
                <w:i/>
              </w:rPr>
              <w:t>b</w:t>
            </w:r>
            <w:r>
              <w:rPr>
                <w:i/>
              </w:rPr>
              <w:t>y</w:t>
            </w:r>
            <w:r>
              <w:t>)</w:t>
            </w:r>
          </w:p>
        </w:tc>
        <w:tc>
          <w:tcPr>
            <w:tcW w:w="1530" w:type="dxa"/>
          </w:tcPr>
          <w:p w14:paraId="7C7162C6" w14:textId="23D8E680" w:rsidR="00430B15" w:rsidRDefault="00430B15" w:rsidP="00430B15">
            <w:pPr>
              <w:jc w:val="center"/>
            </w:pPr>
            <w:r>
              <w:t>(-15, 21)</w:t>
            </w:r>
          </w:p>
        </w:tc>
        <w:tc>
          <w:tcPr>
            <w:tcW w:w="810" w:type="dxa"/>
            <w:shd w:val="clear" w:color="auto" w:fill="DEEAF6" w:themeFill="accent1" w:themeFillTint="33"/>
          </w:tcPr>
          <w:p w14:paraId="24E7447C" w14:textId="77777777" w:rsidR="00430B15" w:rsidRDefault="00430B15" w:rsidP="00430B15">
            <w:pPr>
              <w:jc w:val="center"/>
            </w:pPr>
          </w:p>
        </w:tc>
        <w:tc>
          <w:tcPr>
            <w:tcW w:w="810" w:type="dxa"/>
            <w:shd w:val="clear" w:color="auto" w:fill="DEEAF6" w:themeFill="accent1" w:themeFillTint="33"/>
          </w:tcPr>
          <w:p w14:paraId="573B1AF1" w14:textId="77777777" w:rsidR="00430B15" w:rsidRDefault="00430B15" w:rsidP="00430B15">
            <w:pPr>
              <w:jc w:val="center"/>
            </w:pPr>
          </w:p>
        </w:tc>
      </w:tr>
      <w:tr w:rsidR="00430B15" w14:paraId="79907D40" w14:textId="77777777" w:rsidTr="00430B15">
        <w:tc>
          <w:tcPr>
            <w:tcW w:w="1075" w:type="dxa"/>
          </w:tcPr>
          <w:p w14:paraId="4939AFB2" w14:textId="30257D45" w:rsidR="00430B15" w:rsidRDefault="00430B15" w:rsidP="00430B15">
            <w:pPr>
              <w:jc w:val="center"/>
            </w:pPr>
            <w:r>
              <w:t>Frances</w:t>
            </w:r>
          </w:p>
        </w:tc>
        <w:tc>
          <w:tcPr>
            <w:tcW w:w="2070" w:type="dxa"/>
          </w:tcPr>
          <w:p w14:paraId="45160C8A" w14:textId="6A8BA162" w:rsidR="00430B15" w:rsidRDefault="00430B15" w:rsidP="00430B15">
            <w:pPr>
              <w:jc w:val="center"/>
            </w:pPr>
            <w:r>
              <w:t>(</w:t>
            </w:r>
            <w:proofErr w:type="spellStart"/>
            <w:r w:rsidRPr="00430B15">
              <w:rPr>
                <w:i/>
              </w:rPr>
              <w:t>x</w:t>
            </w:r>
            <w:r>
              <w:t>,</w:t>
            </w:r>
            <w:r w:rsidRPr="00430B15">
              <w:rPr>
                <w:i/>
              </w:rPr>
              <w:t>y</w:t>
            </w:r>
            <w:proofErr w:type="spellEnd"/>
            <w:r>
              <w:t>) → (</w:t>
            </w:r>
            <w:r>
              <w:rPr>
                <w:i/>
              </w:rPr>
              <w:t>ax</w:t>
            </w:r>
            <w:r>
              <w:t>+</w:t>
            </w:r>
            <w:r>
              <w:t>1</w:t>
            </w:r>
            <w:r>
              <w:t xml:space="preserve">, </w:t>
            </w:r>
            <w:r w:rsidRPr="00430B15">
              <w:rPr>
                <w:i/>
              </w:rPr>
              <w:t>b</w:t>
            </w:r>
            <w:r>
              <w:rPr>
                <w:i/>
              </w:rPr>
              <w:t>y</w:t>
            </w:r>
            <w:r>
              <w:t>-6</w:t>
            </w:r>
            <w:r>
              <w:t>)</w:t>
            </w:r>
          </w:p>
        </w:tc>
        <w:tc>
          <w:tcPr>
            <w:tcW w:w="1530" w:type="dxa"/>
          </w:tcPr>
          <w:p w14:paraId="79EBF1E8" w14:textId="530F92F7" w:rsidR="00430B15" w:rsidRDefault="00430B15" w:rsidP="00430B15">
            <w:pPr>
              <w:jc w:val="center"/>
            </w:pPr>
            <w:r>
              <w:t>(-4, 8)</w:t>
            </w:r>
          </w:p>
        </w:tc>
        <w:tc>
          <w:tcPr>
            <w:tcW w:w="810" w:type="dxa"/>
            <w:shd w:val="clear" w:color="auto" w:fill="DEEAF6" w:themeFill="accent1" w:themeFillTint="33"/>
          </w:tcPr>
          <w:p w14:paraId="6BAC4112" w14:textId="77777777" w:rsidR="00430B15" w:rsidRDefault="00430B15" w:rsidP="00430B15">
            <w:pPr>
              <w:jc w:val="center"/>
            </w:pPr>
          </w:p>
        </w:tc>
        <w:tc>
          <w:tcPr>
            <w:tcW w:w="810" w:type="dxa"/>
            <w:shd w:val="clear" w:color="auto" w:fill="DEEAF6" w:themeFill="accent1" w:themeFillTint="33"/>
          </w:tcPr>
          <w:p w14:paraId="4A49500A" w14:textId="77777777" w:rsidR="00430B15" w:rsidRDefault="00430B15" w:rsidP="00430B15">
            <w:pPr>
              <w:jc w:val="center"/>
            </w:pPr>
          </w:p>
        </w:tc>
      </w:tr>
    </w:tbl>
    <w:p w14:paraId="1721D894" w14:textId="77777777" w:rsidR="00816E40" w:rsidRPr="00430B15" w:rsidRDefault="00816E40" w:rsidP="00430B15"/>
    <w:sectPr w:rsidR="00816E40" w:rsidRPr="00430B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122"/>
    <w:rsid w:val="002953DF"/>
    <w:rsid w:val="002C0122"/>
    <w:rsid w:val="003D1C2E"/>
    <w:rsid w:val="00430B15"/>
    <w:rsid w:val="00517A4F"/>
    <w:rsid w:val="00816E40"/>
    <w:rsid w:val="00991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BE7B8"/>
  <w15:chartTrackingRefBased/>
  <w15:docId w15:val="{1C4D35DD-2C75-4DA7-950A-AC9C9EDA8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16E40"/>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430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Words>
  <Characters>454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Dianna Hayden</dc:creator>
  <cp:keywords/>
  <dc:description/>
  <cp:lastModifiedBy>Baugus, Jeffery A.</cp:lastModifiedBy>
  <cp:revision>2</cp:revision>
  <dcterms:created xsi:type="dcterms:W3CDTF">2017-08-31T17:46:00Z</dcterms:created>
  <dcterms:modified xsi:type="dcterms:W3CDTF">2017-08-31T17:46:00Z</dcterms:modified>
</cp:coreProperties>
</file>